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9E" w:rsidRPr="007A1B9E" w:rsidRDefault="007A1B9E" w:rsidP="007A1B9E">
      <w:pPr>
        <w:keepNext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7A1B9E">
        <w:rPr>
          <w:rFonts w:ascii="Verdana" w:eastAsia="Times New Roman" w:hAnsi="Verdana" w:cs="Arial"/>
          <w:b/>
          <w:bCs/>
          <w:sz w:val="18"/>
          <w:szCs w:val="18"/>
        </w:rPr>
        <w:t>PORTARIA N</w:t>
      </w:r>
      <w:r w:rsidRPr="007A1B9E">
        <w:rPr>
          <w:rFonts w:ascii="Verdana" w:eastAsia="Times New Roman" w:hAnsi="Verdana" w:cs="Arial"/>
          <w:b/>
          <w:bCs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b/>
          <w:bCs/>
          <w:sz w:val="18"/>
          <w:szCs w:val="18"/>
        </w:rPr>
        <w:t xml:space="preserve"> 3.332 DE 28 DE DEZEMBRO DE 2006.</w:t>
      </w:r>
    </w:p>
    <w:p w:rsidR="007A1B9E" w:rsidRPr="007A1B9E" w:rsidRDefault="007A1B9E" w:rsidP="007A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 </w:t>
      </w:r>
    </w:p>
    <w:p w:rsidR="007A1B9E" w:rsidRPr="007A1B9E" w:rsidRDefault="007A1B9E" w:rsidP="007A1B9E">
      <w:pPr>
        <w:spacing w:after="0" w:line="240" w:lineRule="auto"/>
        <w:ind w:left="2160"/>
        <w:jc w:val="both"/>
        <w:rPr>
          <w:rFonts w:ascii="Arial" w:eastAsia="Times New Roman" w:hAnsi="Arial" w:cs="Arial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  Aprova orientações gerais relativas aos instrumentos do Sistema de Planejamento do SUS.</w:t>
      </w:r>
    </w:p>
    <w:p w:rsidR="007A1B9E" w:rsidRPr="007A1B9E" w:rsidRDefault="007A1B9E" w:rsidP="007A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 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O MINISTRO DE ESTADO DA SAÚDE, no uso das atribuições que lhe confere o inciso II, do parágrafo único, do art. 87, da Constituição Federal, e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 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Considerando a Portaria n</w:t>
      </w:r>
      <w:r w:rsidRPr="007A1B9E">
        <w:rPr>
          <w:rFonts w:ascii="Verdana" w:eastAsia="Times New Roman" w:hAnsi="Verdana" w:cs="Times New Roman"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sz w:val="18"/>
          <w:szCs w:val="18"/>
        </w:rPr>
        <w:t xml:space="preserve"> 399/GM, de 22 de fevereiro de 2006, que divulga e aprova as Diretrizes Operacionais do Pacto pela Saúde 2006;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Considerando a Portaria n</w:t>
      </w:r>
      <w:r w:rsidRPr="007A1B9E">
        <w:rPr>
          <w:rFonts w:ascii="Verdana" w:eastAsia="Times New Roman" w:hAnsi="Verdana" w:cs="Arial"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sz w:val="18"/>
          <w:szCs w:val="18"/>
        </w:rPr>
        <w:t xml:space="preserve"> 699/GM, de 30 de março de 2006, que aprova o Regulamento do Pacto pela Vida e de Gestão; 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Considerando que o Pacto pela Saúde estabelece uma agenda de prioridades para o Sistema Único de Saúde (SUS);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Considerando a Portaria n</w:t>
      </w:r>
      <w:r w:rsidRPr="007A1B9E">
        <w:rPr>
          <w:rFonts w:ascii="Verdana" w:eastAsia="Times New Roman" w:hAnsi="Verdana" w:cs="Arial"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sz w:val="18"/>
          <w:szCs w:val="18"/>
        </w:rPr>
        <w:t xml:space="preserve"> 3.085/GM, de 1</w:t>
      </w:r>
      <w:r w:rsidRPr="007A1B9E">
        <w:rPr>
          <w:rFonts w:ascii="Verdana" w:eastAsia="Times New Roman" w:hAnsi="Verdana" w:cs="Arial"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sz w:val="18"/>
          <w:szCs w:val="18"/>
        </w:rPr>
        <w:t xml:space="preserve"> de dezembro de 2006, que regulamenta o Sistema de Planejamento do SUS, na qual estão estabelecidos os instrumentos básicos deste Sistema; 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Considerando a importância da institucionalização e do fortalecimento do planejamento no SUS, legitimando o mencionado Sistema como processo estratégico de gestão;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Considerando as responsabilidades específicas de cada esfera de gestão no Sistema de Planejamento do SUS;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Considerando que o processo de planejamento em cada esfera de gestão deve ser desenvolvido segundo as respectivas peculiaridades, necessidades e realidades sanitárias;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 xml:space="preserve">Considerando que o desenvolvimento desse processo deve ter em conta a necessidade da participação social e da intensificação da articulação </w:t>
      </w:r>
      <w:proofErr w:type="spellStart"/>
      <w:r w:rsidRPr="007A1B9E">
        <w:rPr>
          <w:rFonts w:ascii="Verdana" w:eastAsia="Times New Roman" w:hAnsi="Verdana" w:cs="Arial"/>
          <w:sz w:val="18"/>
          <w:szCs w:val="18"/>
        </w:rPr>
        <w:t>intra</w:t>
      </w:r>
      <w:proofErr w:type="spellEnd"/>
      <w:r w:rsidRPr="007A1B9E">
        <w:rPr>
          <w:rFonts w:ascii="Verdana" w:eastAsia="Times New Roman" w:hAnsi="Verdana" w:cs="Arial"/>
          <w:sz w:val="18"/>
          <w:szCs w:val="18"/>
        </w:rPr>
        <w:t xml:space="preserve"> e </w:t>
      </w:r>
      <w:proofErr w:type="spellStart"/>
      <w:r w:rsidRPr="007A1B9E">
        <w:rPr>
          <w:rFonts w:ascii="Verdana" w:eastAsia="Times New Roman" w:hAnsi="Verdana" w:cs="Arial"/>
          <w:sz w:val="18"/>
          <w:szCs w:val="18"/>
        </w:rPr>
        <w:t>intersetorial</w:t>
      </w:r>
      <w:proofErr w:type="spellEnd"/>
      <w:r w:rsidRPr="007A1B9E">
        <w:rPr>
          <w:rFonts w:ascii="Verdana" w:eastAsia="Times New Roman" w:hAnsi="Verdana" w:cs="Arial"/>
          <w:sz w:val="18"/>
          <w:szCs w:val="18"/>
        </w:rPr>
        <w:t xml:space="preserve">; 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 xml:space="preserve">Considerando que a formulação de metodologias unificadas e modelos de instrumentos básicos do processo de planejamento - englobando o monitoramento e a avaliação – devem traduzir as diretrizes do SUS e ser adaptável às particularidades de cada esfera administrativa; 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 xml:space="preserve">Considerando a importância da implementação e difusão de uma cultura de planejamento que integre e qualifique as ações do SUS nas três esferas de governo e que subsidie a tomada de decisão por parte de seus gestores; </w:t>
      </w:r>
      <w:proofErr w:type="gramStart"/>
      <w:r w:rsidRPr="007A1B9E">
        <w:rPr>
          <w:rFonts w:ascii="Verdana" w:eastAsia="Times New Roman" w:hAnsi="Verdana" w:cs="Arial"/>
          <w:sz w:val="18"/>
          <w:szCs w:val="18"/>
        </w:rPr>
        <w:t>e</w:t>
      </w:r>
      <w:proofErr w:type="gramEnd"/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 xml:space="preserve">Considerando a necessidade de monitoramento e avaliação do processo de planejamento, das ações </w:t>
      </w:r>
      <w:proofErr w:type="gramStart"/>
      <w:r w:rsidRPr="007A1B9E">
        <w:rPr>
          <w:rFonts w:ascii="Verdana" w:eastAsia="Times New Roman" w:hAnsi="Verdana" w:cs="Arial"/>
          <w:sz w:val="18"/>
          <w:szCs w:val="18"/>
        </w:rPr>
        <w:t>implementadas</w:t>
      </w:r>
      <w:proofErr w:type="gramEnd"/>
      <w:r w:rsidRPr="007A1B9E">
        <w:rPr>
          <w:rFonts w:ascii="Verdana" w:eastAsia="Times New Roman" w:hAnsi="Verdana" w:cs="Arial"/>
          <w:sz w:val="18"/>
          <w:szCs w:val="18"/>
        </w:rPr>
        <w:t xml:space="preserve"> e dos resultados alcançados, de modo a fortalecer o Sistema de Planejamento e a contribuir para a transparência do processo de gestão do SUS,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 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R E S O L V E: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 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1B9E">
        <w:rPr>
          <w:rFonts w:ascii="Verdana" w:eastAsia="Times New Roman" w:hAnsi="Verdana" w:cs="Times New Roman"/>
          <w:sz w:val="18"/>
          <w:szCs w:val="18"/>
        </w:rPr>
        <w:t>Art</w:t>
      </w:r>
      <w:proofErr w:type="spellEnd"/>
      <w:r w:rsidRPr="007A1B9E">
        <w:rPr>
          <w:rFonts w:ascii="Verdana" w:eastAsia="Times New Roman" w:hAnsi="Verdana" w:cs="Times New Roman"/>
          <w:sz w:val="18"/>
          <w:szCs w:val="18"/>
        </w:rPr>
        <w:t xml:space="preserve"> 1</w:t>
      </w:r>
      <w:r w:rsidRPr="007A1B9E">
        <w:rPr>
          <w:rFonts w:ascii="Verdana" w:eastAsia="Times New Roman" w:hAnsi="Verdana" w:cs="Times New Roman"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sz w:val="18"/>
          <w:szCs w:val="18"/>
        </w:rPr>
        <w:t>  Aprovar as orientações gerais, constantes desta Portaria, relativas aos instrumentos básicos do Sistema de Planejamento do SUS, a saber: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 xml:space="preserve">I - </w:t>
      </w:r>
      <w:r w:rsidRPr="007A1B9E">
        <w:rPr>
          <w:rFonts w:ascii="Verdana" w:eastAsia="Times New Roman" w:hAnsi="Verdana" w:cs="Times New Roman"/>
          <w:b/>
          <w:sz w:val="18"/>
          <w:szCs w:val="18"/>
        </w:rPr>
        <w:t>Plano de Saúde</w:t>
      </w:r>
      <w:r w:rsidRPr="007A1B9E">
        <w:rPr>
          <w:rFonts w:ascii="Verdana" w:eastAsia="Times New Roman" w:hAnsi="Verdana" w:cs="Times New Roman"/>
          <w:sz w:val="18"/>
          <w:szCs w:val="18"/>
        </w:rPr>
        <w:t xml:space="preserve"> e as suas respectivas </w:t>
      </w:r>
      <w:r w:rsidRPr="007A1B9E">
        <w:rPr>
          <w:rFonts w:ascii="Verdana" w:eastAsia="Times New Roman" w:hAnsi="Verdana" w:cs="Times New Roman"/>
          <w:b/>
          <w:sz w:val="18"/>
          <w:szCs w:val="18"/>
        </w:rPr>
        <w:t>Programações Anuais de Saúde</w:t>
      </w:r>
      <w:r w:rsidRPr="007A1B9E">
        <w:rPr>
          <w:rFonts w:ascii="Verdana" w:eastAsia="Times New Roman" w:hAnsi="Verdana" w:cs="Times New Roman"/>
          <w:sz w:val="18"/>
          <w:szCs w:val="18"/>
        </w:rPr>
        <w:t>; e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 xml:space="preserve">II - Relatório Anual de Gestão. 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§ 1</w:t>
      </w:r>
      <w:r w:rsidRPr="007A1B9E">
        <w:rPr>
          <w:rFonts w:ascii="Verdana" w:eastAsia="Times New Roman" w:hAnsi="Verdana" w:cs="Times New Roman"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sz w:val="18"/>
          <w:szCs w:val="18"/>
        </w:rPr>
        <w:t xml:space="preserve">  A formulação e a </w:t>
      </w:r>
      <w:proofErr w:type="gramStart"/>
      <w:r w:rsidRPr="007A1B9E">
        <w:rPr>
          <w:rFonts w:ascii="Verdana" w:eastAsia="Times New Roman" w:hAnsi="Verdana" w:cs="Times New Roman"/>
          <w:sz w:val="18"/>
          <w:szCs w:val="18"/>
        </w:rPr>
        <w:t>implementação</w:t>
      </w:r>
      <w:proofErr w:type="gramEnd"/>
      <w:r w:rsidRPr="007A1B9E">
        <w:rPr>
          <w:rFonts w:ascii="Verdana" w:eastAsia="Times New Roman" w:hAnsi="Verdana" w:cs="Times New Roman"/>
          <w:sz w:val="18"/>
          <w:szCs w:val="18"/>
        </w:rPr>
        <w:t xml:space="preserve"> desses instrumentos conferem expressão concreta ao processo de planejamento do referido Sistema e devem ser desenvolvidos, em cada esfera de gestão, na conformidade de suas especificidades e necessidades.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B9E">
        <w:rPr>
          <w:rFonts w:ascii="Verdana" w:eastAsia="Times New Roman" w:hAnsi="Verdana" w:cs="Times New Roman"/>
          <w:b/>
          <w:sz w:val="18"/>
          <w:szCs w:val="18"/>
        </w:rPr>
        <w:t>§ 2</w:t>
      </w:r>
      <w:r w:rsidRPr="007A1B9E">
        <w:rPr>
          <w:rFonts w:ascii="Verdana" w:eastAsia="Times New Roman" w:hAnsi="Verdana" w:cs="Times New Roman"/>
          <w:b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b/>
          <w:sz w:val="18"/>
          <w:szCs w:val="18"/>
        </w:rPr>
        <w:t>  Os instrumentos básicos adotados pelo Sistema de Planejamento do SUS devem ser compatíveis com o Plano Plurianual, a Lei de Diretrizes Orçamentárias e a Lei Orçamentária Anual, atentando-se para os períodos estabelecidos para a sua formulação em cada esfera de gestão.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§ 3</w:t>
      </w:r>
      <w:r w:rsidRPr="007A1B9E">
        <w:rPr>
          <w:rFonts w:ascii="Verdana" w:eastAsia="Times New Roman" w:hAnsi="Verdana" w:cs="Times New Roman"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sz w:val="18"/>
          <w:szCs w:val="18"/>
        </w:rPr>
        <w:t>  O Plano de Saúde, as suas respectivas Programações Anuais de Saúde e o Relatório Anual de Gestão devem possibilitar a qualificação das práticas gerenciais do SUS e, por via conseqüência, a resolubilidade tanto da sua gestão, quanto das ações e serviços prestados à população brasileira.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b/>
          <w:sz w:val="18"/>
          <w:szCs w:val="18"/>
        </w:rPr>
        <w:t>Art. 2</w:t>
      </w:r>
      <w:r w:rsidRPr="007A1B9E">
        <w:rPr>
          <w:rFonts w:ascii="Verdana" w:eastAsia="Times New Roman" w:hAnsi="Verdana" w:cs="Times New Roman"/>
          <w:b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b/>
          <w:sz w:val="18"/>
          <w:szCs w:val="18"/>
        </w:rPr>
        <w:t>  Definir como Plano de Saúde</w:t>
      </w:r>
      <w:r w:rsidRPr="007A1B9E">
        <w:rPr>
          <w:rFonts w:ascii="Verdana" w:eastAsia="Times New Roman" w:hAnsi="Verdana" w:cs="Times New Roman"/>
          <w:sz w:val="18"/>
          <w:szCs w:val="18"/>
        </w:rPr>
        <w:t xml:space="preserve"> o instrumento básico que, em cada esfera de gestão, norteia a definição da Programação Anual das ações e serviços de saúde, assim como da gestão do SUS. 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§ 1</w:t>
      </w:r>
      <w:r w:rsidRPr="007A1B9E">
        <w:rPr>
          <w:rFonts w:ascii="Verdana" w:eastAsia="Times New Roman" w:hAnsi="Verdana" w:cs="Times New Roman"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sz w:val="18"/>
          <w:szCs w:val="18"/>
        </w:rPr>
        <w:t xml:space="preserve">  O Plano de Saúde apresenta as intenções e os resultados a serem buscados no período de quatro anos, expressos em objetivos, diretrizes e metas. 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§ 2</w:t>
      </w:r>
      <w:r w:rsidRPr="007A1B9E">
        <w:rPr>
          <w:rFonts w:ascii="Verdana" w:eastAsia="Times New Roman" w:hAnsi="Verdana" w:cs="Times New Roman"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sz w:val="18"/>
          <w:szCs w:val="18"/>
        </w:rPr>
        <w:t>  O Plano de Saúde, como instrumento referencial no qual devem estar refletidas as necessidades e peculiaridades próprias de cada esfera, configura-se a base para a execução, o acompanhamento, a avaliação e a gestão do sistema de saúde.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§ 3</w:t>
      </w:r>
      <w:r w:rsidRPr="007A1B9E">
        <w:rPr>
          <w:rFonts w:ascii="Verdana" w:eastAsia="Times New Roman" w:hAnsi="Verdana" w:cs="Times New Roman"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sz w:val="18"/>
          <w:szCs w:val="18"/>
        </w:rPr>
        <w:t>  O Plano deve, assim, contemplar todas as áreas da atenção à saúde, de modo a garantir a integralidade desta atenção;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lastRenderedPageBreak/>
        <w:t>§ 4</w:t>
      </w:r>
      <w:r w:rsidRPr="007A1B9E">
        <w:rPr>
          <w:rFonts w:ascii="Verdana" w:eastAsia="Times New Roman" w:hAnsi="Verdana" w:cs="Times New Roman"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sz w:val="18"/>
          <w:szCs w:val="18"/>
        </w:rPr>
        <w:t xml:space="preserve">  No Plano devem estar contidas todas as medidas necessárias à execução e cumprimento dos prazos acordados nos </w:t>
      </w:r>
      <w:r w:rsidRPr="007A1B9E">
        <w:rPr>
          <w:rFonts w:ascii="Verdana" w:eastAsia="Times New Roman" w:hAnsi="Verdana" w:cs="Times New Roman"/>
          <w:b/>
          <w:sz w:val="18"/>
          <w:szCs w:val="18"/>
        </w:rPr>
        <w:t>Termos de Compromissos de Gestão</w:t>
      </w:r>
      <w:r w:rsidRPr="007A1B9E">
        <w:rPr>
          <w:rFonts w:ascii="Verdana" w:eastAsia="Times New Roman" w:hAnsi="Verdana" w:cs="Times New Roman"/>
          <w:sz w:val="18"/>
          <w:szCs w:val="18"/>
        </w:rPr>
        <w:t xml:space="preserve">; 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§ 5</w:t>
      </w:r>
      <w:r w:rsidRPr="007A1B9E">
        <w:rPr>
          <w:rFonts w:ascii="Verdana" w:eastAsia="Times New Roman" w:hAnsi="Verdana" w:cs="Times New Roman"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sz w:val="18"/>
          <w:szCs w:val="18"/>
        </w:rPr>
        <w:t>  A elaboração do Plano de Saúde compreende dois momentos, a saber: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I - o da análise situacional; e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II - o da definição dos objetivos, diretrizes e metas para o período de quatro anos.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§ 6</w:t>
      </w:r>
      <w:r w:rsidRPr="007A1B9E">
        <w:rPr>
          <w:rFonts w:ascii="Verdana" w:eastAsia="Times New Roman" w:hAnsi="Verdana" w:cs="Arial"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sz w:val="18"/>
          <w:szCs w:val="18"/>
        </w:rPr>
        <w:t>  A análise situacional e a formulação dos objetivos, diretrizes e metas têm por base os seguintes eixos: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I - condições de saúde da população, em que estão concentrados os compromissos e responsabilidades exclusivas do setor saúde;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 xml:space="preserve">II - determinantes e condicionantes de saúde, em que estão concentradas medidas compartilhadas ou sob a coordenação de outros setores, ou seja, a </w:t>
      </w:r>
      <w:proofErr w:type="spellStart"/>
      <w:r w:rsidRPr="007A1B9E">
        <w:rPr>
          <w:rFonts w:ascii="Verdana" w:eastAsia="Times New Roman" w:hAnsi="Verdana" w:cs="Arial"/>
          <w:sz w:val="18"/>
          <w:szCs w:val="18"/>
        </w:rPr>
        <w:t>intersetorialidade</w:t>
      </w:r>
      <w:proofErr w:type="spellEnd"/>
      <w:r w:rsidRPr="007A1B9E">
        <w:rPr>
          <w:rFonts w:ascii="Verdana" w:eastAsia="Times New Roman" w:hAnsi="Verdana" w:cs="Arial"/>
          <w:sz w:val="18"/>
          <w:szCs w:val="18"/>
        </w:rPr>
        <w:t>; e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 xml:space="preserve">III - gestão em saúde. 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b/>
          <w:sz w:val="18"/>
          <w:szCs w:val="18"/>
        </w:rPr>
        <w:t>§ 7</w:t>
      </w:r>
      <w:r w:rsidRPr="007A1B9E">
        <w:rPr>
          <w:rFonts w:ascii="Verdana" w:eastAsia="Times New Roman" w:hAnsi="Verdana" w:cs="Arial"/>
          <w:b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b/>
          <w:sz w:val="18"/>
          <w:szCs w:val="18"/>
        </w:rPr>
        <w:t>  O Plano de Saúde deve ser submetido à apreciação e aprovação do Conselho de Saúde respectivo</w:t>
      </w:r>
      <w:r w:rsidRPr="007A1B9E">
        <w:rPr>
          <w:rFonts w:ascii="Verdana" w:eastAsia="Times New Roman" w:hAnsi="Verdana" w:cs="Arial"/>
          <w:sz w:val="18"/>
          <w:szCs w:val="18"/>
        </w:rPr>
        <w:t>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b/>
          <w:sz w:val="18"/>
          <w:szCs w:val="18"/>
        </w:rPr>
        <w:t>Art. 3</w:t>
      </w:r>
      <w:r w:rsidRPr="007A1B9E">
        <w:rPr>
          <w:rFonts w:ascii="Verdana" w:eastAsia="Times New Roman" w:hAnsi="Verdana" w:cs="Arial"/>
          <w:b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b/>
          <w:sz w:val="18"/>
          <w:szCs w:val="18"/>
        </w:rPr>
        <w:t>  Definir como Programação Anual de Saúde</w:t>
      </w:r>
      <w:r w:rsidRPr="007A1B9E">
        <w:rPr>
          <w:rFonts w:ascii="Verdana" w:eastAsia="Times New Roman" w:hAnsi="Verdana" w:cs="Arial"/>
          <w:sz w:val="18"/>
          <w:szCs w:val="18"/>
        </w:rPr>
        <w:t xml:space="preserve"> o instrumento que operacionaliza as intenções expressas no Plano de Saúde, cujo propósito é determinar o conjunto de ações voltadas à promoção, proteção e recuperação da saúde, bem como da gestão do SUS.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§ 1</w:t>
      </w:r>
      <w:r w:rsidRPr="007A1B9E">
        <w:rPr>
          <w:rFonts w:ascii="Verdana" w:eastAsia="Times New Roman" w:hAnsi="Verdana" w:cs="Times New Roman"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sz w:val="18"/>
          <w:szCs w:val="18"/>
        </w:rPr>
        <w:t>  A Programação Anual de Saúde deve conter: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I - a definição das ações que, no ano específico, irão garantir o alcance dos objetivos e o cumprimento das metas do Plano de Saúde;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II - o estabelecimento das metas anuais relativas a cada uma das ações definidas;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 xml:space="preserve">III - a identificação dos </w:t>
      </w:r>
      <w:r w:rsidRPr="007A1B9E">
        <w:rPr>
          <w:rFonts w:ascii="Verdana" w:eastAsia="Times New Roman" w:hAnsi="Verdana" w:cs="Times New Roman"/>
          <w:b/>
          <w:sz w:val="18"/>
          <w:szCs w:val="18"/>
        </w:rPr>
        <w:t>indicadores</w:t>
      </w:r>
      <w:r w:rsidRPr="007A1B9E">
        <w:rPr>
          <w:rFonts w:ascii="Verdana" w:eastAsia="Times New Roman" w:hAnsi="Verdana" w:cs="Times New Roman"/>
          <w:sz w:val="18"/>
          <w:szCs w:val="18"/>
        </w:rPr>
        <w:t xml:space="preserve"> que serão utilizados para o monitoramento da Programação; e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IV - a definição dos recursos orçamentários necessários ao cumprimento da Programação.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§ 2</w:t>
      </w:r>
      <w:r w:rsidRPr="007A1B9E">
        <w:rPr>
          <w:rFonts w:ascii="Verdana" w:eastAsia="Times New Roman" w:hAnsi="Verdana" w:cs="Arial"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sz w:val="18"/>
          <w:szCs w:val="18"/>
        </w:rPr>
        <w:t>  A Programação Anual de Saúde congrega – de forma sistematizada, agregada e segundo a estrutura básica constante do §1</w:t>
      </w:r>
      <w:r w:rsidRPr="007A1B9E">
        <w:rPr>
          <w:rFonts w:ascii="Verdana" w:eastAsia="Times New Roman" w:hAnsi="Verdana" w:cs="Arial"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sz w:val="18"/>
          <w:szCs w:val="18"/>
        </w:rPr>
        <w:t xml:space="preserve"> precedente – as demais programações existentes em cada esfera de gestão. 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b/>
          <w:sz w:val="18"/>
          <w:szCs w:val="18"/>
        </w:rPr>
        <w:t>§ 3</w:t>
      </w:r>
      <w:r w:rsidRPr="007A1B9E">
        <w:rPr>
          <w:rFonts w:ascii="Verdana" w:eastAsia="Times New Roman" w:hAnsi="Verdana" w:cs="Arial"/>
          <w:b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b/>
          <w:sz w:val="18"/>
          <w:szCs w:val="18"/>
        </w:rPr>
        <w:t>  O horizonte temporal da Programação Anual de Saúde coincide com o período definido para o exercício orçamentário e tem como bases legais para a sua elaboração a Lei de Diretrizes Orçamentárias e a Lei Orçamentária Anual</w:t>
      </w:r>
      <w:r w:rsidRPr="007A1B9E">
        <w:rPr>
          <w:rFonts w:ascii="Verdana" w:eastAsia="Times New Roman" w:hAnsi="Verdana" w:cs="Arial"/>
          <w:sz w:val="18"/>
          <w:szCs w:val="18"/>
        </w:rPr>
        <w:t xml:space="preserve">. 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b/>
          <w:sz w:val="18"/>
          <w:szCs w:val="18"/>
        </w:rPr>
        <w:t>Art. 4</w:t>
      </w:r>
      <w:r w:rsidRPr="007A1B9E">
        <w:rPr>
          <w:rFonts w:ascii="Verdana" w:eastAsia="Times New Roman" w:hAnsi="Verdana" w:cs="Arial"/>
          <w:b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b/>
          <w:sz w:val="18"/>
          <w:szCs w:val="18"/>
        </w:rPr>
        <w:t>  Definir como Relatório Anual de Gestão</w:t>
      </w:r>
      <w:r w:rsidRPr="007A1B9E">
        <w:rPr>
          <w:rFonts w:ascii="Verdana" w:eastAsia="Times New Roman" w:hAnsi="Verdana" w:cs="Arial"/>
          <w:sz w:val="18"/>
          <w:szCs w:val="18"/>
        </w:rPr>
        <w:t xml:space="preserve"> o instrumento que apresenta os resultados alcançados com a execução da Programação Anual de Saúde e orienta eventuais redirecionamentos que se fizerem necessários. 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§ 1</w:t>
      </w:r>
      <w:r w:rsidRPr="007A1B9E">
        <w:rPr>
          <w:rFonts w:ascii="Verdana" w:eastAsia="Times New Roman" w:hAnsi="Verdana" w:cs="Arial"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sz w:val="18"/>
          <w:szCs w:val="18"/>
        </w:rPr>
        <w:t xml:space="preserve">  Os resultados alcançados são apurados com base no conjunto de </w:t>
      </w:r>
      <w:r w:rsidRPr="007A1B9E">
        <w:rPr>
          <w:rFonts w:ascii="Verdana" w:eastAsia="Times New Roman" w:hAnsi="Verdana" w:cs="Arial"/>
          <w:b/>
          <w:sz w:val="18"/>
          <w:szCs w:val="18"/>
        </w:rPr>
        <w:t>indicadores</w:t>
      </w:r>
      <w:r w:rsidRPr="007A1B9E">
        <w:rPr>
          <w:rFonts w:ascii="Verdana" w:eastAsia="Times New Roman" w:hAnsi="Verdana" w:cs="Arial"/>
          <w:sz w:val="18"/>
          <w:szCs w:val="18"/>
        </w:rPr>
        <w:t>, definidos na Programação para acompanhar o cumprimento das metas nela fixadas.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b/>
          <w:sz w:val="18"/>
          <w:szCs w:val="18"/>
        </w:rPr>
        <w:t>§ 2</w:t>
      </w:r>
      <w:r w:rsidRPr="007A1B9E">
        <w:rPr>
          <w:rFonts w:ascii="Verdana" w:eastAsia="Times New Roman" w:hAnsi="Verdana" w:cs="Times New Roman"/>
          <w:b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b/>
          <w:sz w:val="18"/>
          <w:szCs w:val="18"/>
        </w:rPr>
        <w:t>  O Relatório Anual de Gestão deve ser elaborado na conformidade da Programação e indicar, inclusive, as eventuais necessidades de ajustes no Plano de Saúde</w:t>
      </w:r>
      <w:r w:rsidRPr="007A1B9E">
        <w:rPr>
          <w:rFonts w:ascii="Verdana" w:eastAsia="Times New Roman" w:hAnsi="Verdana" w:cs="Times New Roman"/>
          <w:sz w:val="18"/>
          <w:szCs w:val="18"/>
        </w:rPr>
        <w:t>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§ 3</w:t>
      </w:r>
      <w:r w:rsidRPr="007A1B9E">
        <w:rPr>
          <w:rFonts w:ascii="Verdana" w:eastAsia="Times New Roman" w:hAnsi="Verdana" w:cs="Times New Roman"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sz w:val="18"/>
          <w:szCs w:val="18"/>
        </w:rPr>
        <w:t>  Em termos de estrutura, o Relatório deve conter: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 xml:space="preserve">I - </w:t>
      </w:r>
      <w:r w:rsidRPr="007A1B9E">
        <w:rPr>
          <w:rFonts w:ascii="Verdana" w:eastAsia="Times New Roman" w:hAnsi="Verdana" w:cs="Arial"/>
          <w:b/>
          <w:sz w:val="18"/>
          <w:szCs w:val="18"/>
        </w:rPr>
        <w:t>o resultado da apuração dos indicadores</w:t>
      </w:r>
      <w:r w:rsidRPr="007A1B9E">
        <w:rPr>
          <w:rFonts w:ascii="Verdana" w:eastAsia="Times New Roman" w:hAnsi="Verdana" w:cs="Arial"/>
          <w:sz w:val="18"/>
          <w:szCs w:val="18"/>
        </w:rPr>
        <w:t>;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 xml:space="preserve">II - a análise da execução da programação (física e </w:t>
      </w:r>
      <w:proofErr w:type="gramStart"/>
      <w:r w:rsidRPr="007A1B9E">
        <w:rPr>
          <w:rFonts w:ascii="Verdana" w:eastAsia="Times New Roman" w:hAnsi="Verdana" w:cs="Arial"/>
          <w:sz w:val="18"/>
          <w:szCs w:val="18"/>
        </w:rPr>
        <w:t>orçamentária/financeira</w:t>
      </w:r>
      <w:proofErr w:type="gramEnd"/>
      <w:r w:rsidRPr="007A1B9E">
        <w:rPr>
          <w:rFonts w:ascii="Verdana" w:eastAsia="Times New Roman" w:hAnsi="Verdana" w:cs="Arial"/>
          <w:sz w:val="18"/>
          <w:szCs w:val="18"/>
        </w:rPr>
        <w:t>); e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III - as recomendações julgadas necessárias (como revisão de indicadores, reprogramação etc.).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§ 4</w:t>
      </w:r>
      <w:r w:rsidRPr="007A1B9E">
        <w:rPr>
          <w:rFonts w:ascii="Verdana" w:eastAsia="Times New Roman" w:hAnsi="Verdana" w:cs="Times New Roman"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sz w:val="18"/>
          <w:szCs w:val="18"/>
        </w:rPr>
        <w:t>  Esse Relatório é também instrumento das ações de auditoria e de controle.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b/>
          <w:sz w:val="18"/>
          <w:szCs w:val="18"/>
        </w:rPr>
        <w:t>§ 5</w:t>
      </w:r>
      <w:r w:rsidRPr="007A1B9E">
        <w:rPr>
          <w:rFonts w:ascii="Verdana" w:eastAsia="Times New Roman" w:hAnsi="Verdana" w:cs="Arial"/>
          <w:b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b/>
          <w:sz w:val="18"/>
          <w:szCs w:val="18"/>
        </w:rPr>
        <w:t>  O Relatório de Gestão deve ser submetido à apreciação e aprovação do Conselho de Saúde respectivo até o final do primeiro trimestre do ano subseqüente</w:t>
      </w:r>
      <w:r w:rsidRPr="007A1B9E">
        <w:rPr>
          <w:rFonts w:ascii="Verdana" w:eastAsia="Times New Roman" w:hAnsi="Verdana" w:cs="Arial"/>
          <w:sz w:val="18"/>
          <w:szCs w:val="18"/>
        </w:rPr>
        <w:t>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b/>
          <w:sz w:val="18"/>
          <w:szCs w:val="18"/>
        </w:rPr>
        <w:t>§ 6</w:t>
      </w:r>
      <w:r w:rsidRPr="007A1B9E">
        <w:rPr>
          <w:rFonts w:ascii="Verdana" w:eastAsia="Times New Roman" w:hAnsi="Verdana" w:cs="Arial"/>
          <w:b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b/>
          <w:sz w:val="18"/>
          <w:szCs w:val="18"/>
        </w:rPr>
        <w:t>  Os Relatórios Anuais de Gestão devem ser insumos básicos para a avaliação do Plano de Saúde, findo o seu período de vigência.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b/>
          <w:sz w:val="18"/>
          <w:szCs w:val="18"/>
        </w:rPr>
        <w:t>§ 7</w:t>
      </w:r>
      <w:r w:rsidRPr="007A1B9E">
        <w:rPr>
          <w:rFonts w:ascii="Verdana" w:eastAsia="Times New Roman" w:hAnsi="Verdana" w:cs="Arial"/>
          <w:b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b/>
          <w:sz w:val="18"/>
          <w:szCs w:val="18"/>
        </w:rPr>
        <w:t>  Essa avaliação tem por objetivo subsidiar a elaboração do novo Plano, com as correções de rumos que se fizerem necessárias e a inserção de novos desafios ou inovações.</w:t>
      </w:r>
      <w:r w:rsidRPr="007A1B9E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§ 8</w:t>
      </w:r>
      <w:r w:rsidRPr="007A1B9E">
        <w:rPr>
          <w:rFonts w:ascii="Verdana" w:eastAsia="Times New Roman" w:hAnsi="Verdana" w:cs="Arial"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sz w:val="18"/>
          <w:szCs w:val="18"/>
        </w:rPr>
        <w:t>  Além de contemplar aspectos qualitativos e quantitativos, a referida avaliação envolve também uma análise acerca do processo geral de desenvolvimento do Plano.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Art. 5</w:t>
      </w:r>
      <w:r w:rsidRPr="007A1B9E">
        <w:rPr>
          <w:rFonts w:ascii="Verdana" w:eastAsia="Times New Roman" w:hAnsi="Verdana" w:cs="Arial"/>
          <w:strike/>
          <w:sz w:val="18"/>
          <w:szCs w:val="18"/>
        </w:rPr>
        <w:t>º</w:t>
      </w:r>
      <w:r w:rsidRPr="007A1B9E">
        <w:rPr>
          <w:rFonts w:ascii="Verdana" w:eastAsia="Times New Roman" w:hAnsi="Verdana" w:cs="Arial"/>
          <w:sz w:val="18"/>
          <w:szCs w:val="18"/>
        </w:rPr>
        <w:t>  Esta Portaria entra em vigor na data de sua publicação.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Art. 6</w:t>
      </w:r>
      <w:r w:rsidRPr="007A1B9E">
        <w:rPr>
          <w:rFonts w:ascii="Verdana" w:eastAsia="Times New Roman" w:hAnsi="Verdana" w:cs="Times New Roman"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sz w:val="18"/>
          <w:szCs w:val="18"/>
        </w:rPr>
        <w:t>  Fica revogada a Portaria n</w:t>
      </w:r>
      <w:r w:rsidRPr="007A1B9E">
        <w:rPr>
          <w:rFonts w:ascii="Verdana" w:eastAsia="Times New Roman" w:hAnsi="Verdana" w:cs="Times New Roman"/>
          <w:strike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sz w:val="18"/>
          <w:szCs w:val="18"/>
        </w:rPr>
        <w:t xml:space="preserve"> 548/GM, de 12 de abril de 2001,</w:t>
      </w:r>
      <w:r w:rsidRPr="007A1B9E">
        <w:rPr>
          <w:rFonts w:ascii="Verdana" w:eastAsia="Times New Roman" w:hAnsi="Verdana" w:cs="Times New Roman"/>
          <w:color w:val="000000"/>
          <w:sz w:val="18"/>
          <w:szCs w:val="18"/>
        </w:rPr>
        <w:t xml:space="preserve"> publicada no Diário Oficial da União n</w:t>
      </w:r>
      <w:r w:rsidRPr="007A1B9E">
        <w:rPr>
          <w:rFonts w:ascii="Verdana" w:eastAsia="Times New Roman" w:hAnsi="Verdana" w:cs="Times New Roman"/>
          <w:strike/>
          <w:color w:val="000000"/>
          <w:sz w:val="18"/>
          <w:szCs w:val="18"/>
        </w:rPr>
        <w:t>º</w:t>
      </w:r>
      <w:r w:rsidRPr="007A1B9E">
        <w:rPr>
          <w:rFonts w:ascii="Verdana" w:eastAsia="Times New Roman" w:hAnsi="Verdana" w:cs="Times New Roman"/>
          <w:color w:val="000000"/>
          <w:sz w:val="18"/>
          <w:szCs w:val="18"/>
        </w:rPr>
        <w:t xml:space="preserve"> 73, de 16 de abril de 2001, seção 1, página 18</w:t>
      </w:r>
      <w:r w:rsidRPr="007A1B9E">
        <w:rPr>
          <w:rFonts w:ascii="Verdana" w:eastAsia="Times New Roman" w:hAnsi="Verdana" w:cs="Times New Roman"/>
          <w:sz w:val="18"/>
          <w:szCs w:val="18"/>
        </w:rPr>
        <w:t>.</w:t>
      </w:r>
    </w:p>
    <w:p w:rsidR="007A1B9E" w:rsidRPr="007A1B9E" w:rsidRDefault="007A1B9E" w:rsidP="007A1B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A1B9E">
        <w:rPr>
          <w:rFonts w:ascii="Verdana" w:eastAsia="Times New Roman" w:hAnsi="Verdana" w:cs="Arial"/>
          <w:sz w:val="18"/>
          <w:szCs w:val="18"/>
        </w:rPr>
        <w:t> </w:t>
      </w:r>
    </w:p>
    <w:p w:rsidR="007A1B9E" w:rsidRPr="007A1B9E" w:rsidRDefault="007A1B9E" w:rsidP="007A1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  JOSÉ AGENOR ÁLVARES DA SILVA</w:t>
      </w:r>
    </w:p>
    <w:p w:rsidR="007A1B9E" w:rsidRPr="007A1B9E" w:rsidRDefault="007A1B9E" w:rsidP="007A1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B9E">
        <w:rPr>
          <w:rFonts w:ascii="Verdana" w:eastAsia="Times New Roman" w:hAnsi="Verdana" w:cs="Times New Roman"/>
          <w:sz w:val="18"/>
          <w:szCs w:val="18"/>
        </w:rPr>
        <w:t>DOU-249 PG-608 SEÇ-1 DE 29.12.06</w:t>
      </w:r>
    </w:p>
    <w:p w:rsidR="008462CC" w:rsidRDefault="008462CC"/>
    <w:sectPr w:rsidR="008462CC" w:rsidSect="00846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9E"/>
    <w:rsid w:val="00294044"/>
    <w:rsid w:val="002B21C8"/>
    <w:rsid w:val="007610F0"/>
    <w:rsid w:val="007A1B9E"/>
    <w:rsid w:val="008462CC"/>
    <w:rsid w:val="00A06B78"/>
    <w:rsid w:val="00DB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A1B9E"/>
    <w:pPr>
      <w:keepNext/>
      <w:spacing w:before="60" w:after="60" w:line="240" w:lineRule="auto"/>
      <w:ind w:firstLine="1418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A1B9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A1B9E"/>
    <w:pPr>
      <w:spacing w:before="120" w:after="120" w:line="240" w:lineRule="auto"/>
      <w:ind w:firstLine="14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1B9E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A1B9E"/>
    <w:pPr>
      <w:spacing w:after="0" w:line="360" w:lineRule="auto"/>
      <w:jc w:val="both"/>
    </w:pPr>
    <w:rPr>
      <w:rFonts w:ascii="Arial" w:eastAsia="Times New Roman" w:hAnsi="Arial" w:cs="Arial"/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A1B9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A1B9E"/>
    <w:pPr>
      <w:keepNext/>
      <w:spacing w:before="60" w:after="60" w:line="240" w:lineRule="auto"/>
      <w:ind w:firstLine="1418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A1B9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A1B9E"/>
    <w:pPr>
      <w:spacing w:before="120" w:after="120" w:line="240" w:lineRule="auto"/>
      <w:ind w:firstLine="14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1B9E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A1B9E"/>
    <w:pPr>
      <w:spacing w:after="0" w:line="360" w:lineRule="auto"/>
      <w:jc w:val="both"/>
    </w:pPr>
    <w:rPr>
      <w:rFonts w:ascii="Arial" w:eastAsia="Times New Roman" w:hAnsi="Arial" w:cs="Arial"/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A1B9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1212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LAERCIO</cp:lastModifiedBy>
  <cp:revision>2</cp:revision>
  <dcterms:created xsi:type="dcterms:W3CDTF">2013-07-15T02:04:00Z</dcterms:created>
  <dcterms:modified xsi:type="dcterms:W3CDTF">2013-07-15T02:04:00Z</dcterms:modified>
</cp:coreProperties>
</file>